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A6" w:rsidRPr="001062A6" w:rsidRDefault="001062A6" w:rsidP="001062A6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cOMUNICATO</w:t>
      </w:r>
    </w:p>
    <w:p w:rsidR="001062A6" w:rsidRPr="001062A6" w:rsidRDefault="001062A6" w:rsidP="001062A6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I</w:t>
      </w:r>
    </w:p>
    <w:p w:rsidR="00CD0CC1" w:rsidRPr="001062A6" w:rsidRDefault="00CD0CC1" w:rsidP="00CD0CC1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CIRCOLARE N.169 DG-</w:t>
      </w:r>
      <w:proofErr w:type="gramStart"/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OR :</w:t>
      </w:r>
      <w:proofErr w:type="gramEnd"/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 xml:space="preserve"> PROCEDURA DI MOBILITÀ TERRITORIALE INTERNA SU BASE VOLONTARIA: PARCO</w:t>
      </w:r>
    </w:p>
    <w:p w:rsidR="00CD0CC1" w:rsidRPr="001062A6" w:rsidRDefault="00CD0CC1" w:rsidP="00CD0CC1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ARCHEOLOGICO DEL COLOSSEO</w:t>
      </w:r>
    </w:p>
    <w:p w:rsidR="00CD0CC1" w:rsidRPr="001062A6" w:rsidRDefault="00CD0CC1" w:rsidP="00CD0CC1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SOPRINTENDENZA SPECIALE</w:t>
      </w:r>
    </w:p>
    <w:p w:rsidR="00CD0CC1" w:rsidRPr="001062A6" w:rsidRDefault="00CD0CC1" w:rsidP="00CD0CC1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ARCHEOLOGIA BELLE ARTI E</w:t>
      </w:r>
    </w:p>
    <w:p w:rsidR="00CD0CC1" w:rsidRPr="001062A6" w:rsidRDefault="00CD0CC1" w:rsidP="00CD0CC1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PAESAGGIO DI ROMA – MUSEO</w:t>
      </w:r>
    </w:p>
    <w:p w:rsidR="00CD0CC1" w:rsidRPr="001062A6" w:rsidRDefault="00CD0CC1" w:rsidP="00CD0CC1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NAZIONALE ROMANO – PARCO</w:t>
      </w:r>
    </w:p>
    <w:p w:rsidR="00CD0CC1" w:rsidRPr="001062A6" w:rsidRDefault="00CD0CC1" w:rsidP="00CD0CC1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ARCHEOLOGICO DELL’ APPIA ANTICA – PARCO ARCHEOLOGICO DI OSTIA</w:t>
      </w:r>
    </w:p>
    <w:p w:rsidR="00CD0CC1" w:rsidRPr="001062A6" w:rsidRDefault="00CD0CC1" w:rsidP="00CD0CC1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</w:pPr>
      <w:r w:rsidRPr="001062A6">
        <w:rPr>
          <w:rFonts w:ascii="Arial Narrow" w:eastAsia="Times New Roman" w:hAnsi="Arial Narrow" w:cs="Times New Roman"/>
          <w:caps/>
          <w:color w:val="444444"/>
          <w:kern w:val="36"/>
          <w:sz w:val="32"/>
          <w:szCs w:val="32"/>
          <w:lang w:eastAsia="it-IT"/>
        </w:rPr>
        <w:t>ANTICA – PROROGA PRESA DI SERVIZIO</w:t>
      </w:r>
    </w:p>
    <w:p w:rsidR="002C72EB" w:rsidRPr="001062A6" w:rsidRDefault="002C72EB">
      <w:pPr>
        <w:rPr>
          <w:sz w:val="32"/>
          <w:szCs w:val="32"/>
        </w:rPr>
      </w:pPr>
      <w:bookmarkStart w:id="0" w:name="_GoBack"/>
      <w:bookmarkEnd w:id="0"/>
    </w:p>
    <w:sectPr w:rsidR="002C72EB" w:rsidRPr="00106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C1"/>
    <w:rsid w:val="001062A6"/>
    <w:rsid w:val="002C72EB"/>
    <w:rsid w:val="00CD0CC1"/>
    <w:rsid w:val="00D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6944E-3E87-4FD1-A620-C2258E46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D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0C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BA1C-9638-4153-AEB7-4404455D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2017-08-04T08:01:00Z</dcterms:created>
  <dcterms:modified xsi:type="dcterms:W3CDTF">2017-08-04T08:54:00Z</dcterms:modified>
</cp:coreProperties>
</file>